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8"/>
          <w:szCs w:val="28"/>
        </w:rPr>
        <w:t>РЕЗЮМЕ</w:t>
      </w:r>
      <w:r>
        <w:rPr>
          <w:rFonts w:ascii="Times New Roman" w:cs="Times New Roman" w:hAnsi="Times New Roman"/>
        </w:rPr>
        <w:t xml:space="preserve"> </w:t>
        <w:tab/>
        <w:tab/>
        <w:tab/>
        <w:tab/>
        <w:tab/>
        <w:t>Дата 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0"/>
          <w:szCs w:val="28"/>
        </w:rPr>
      </w:pPr>
      <w:r>
        <w:rPr>
          <w:rFonts w:ascii="Times New Roman" w:cs="Times New Roman" w:hAnsi="Times New Roman"/>
          <w:b/>
          <w:sz w:val="20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Проект 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vertAlign w:val="superscript"/>
        </w:rPr>
      </w:pPr>
      <w:r>
        <w:rPr>
          <w:rFonts w:ascii="Times New Roman" w:cs="Times New Roman" w:hAnsi="Times New Roman"/>
          <w:sz w:val="28"/>
          <w:szCs w:val="28"/>
          <w:vertAlign w:val="superscript"/>
        </w:rPr>
        <w:t>наименование проекта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29"/>
        <w:gridCol w:w="7797"/>
      </w:tblGrid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9"/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2">
              <w:r>
                <w:rPr>
                  <w:rStyle w:val="style19"/>
                  <w:rFonts w:ascii="Times New Roman" w:cs="Times New Roman" w:hAnsi="Times New Roman"/>
                  <w:lang w:val="en-US"/>
                </w:rPr>
                <w:t>www</w:t>
              </w:r>
              <w:r>
                <w:rPr>
                  <w:rStyle w:val="style19"/>
                  <w:rFonts w:ascii="Times New Roman" w:cs="Times New Roman" w:hAnsi="Times New Roman"/>
                </w:rPr>
                <w:t>.</w:t>
              </w:r>
              <w:r>
                <w:rPr>
                  <w:rStyle w:val="style19"/>
                  <w:rFonts w:ascii="Times New Roman" w:cs="Times New Roman" w:hAnsi="Times New Roman"/>
                  <w:lang w:val="en-US"/>
                </w:rPr>
                <w:t>nalog</w:t>
              </w:r>
              <w:r>
                <w:rPr>
                  <w:rStyle w:val="style19"/>
                  <w:rFonts w:ascii="Times New Roman" w:cs="Times New Roman" w:hAnsi="Times New Roman"/>
                </w:rPr>
                <w:t>.</w:t>
              </w:r>
              <w:r>
                <w:rPr>
                  <w:rStyle w:val="style19"/>
                  <w:rFonts w:ascii="Times New Roman" w:cs="Times New Roman" w:hAnsi="Times New Roman"/>
                  <w:lang w:val="en-US"/>
                </w:rPr>
                <w:t>ru</w:t>
              </w:r>
            </w:hyperlink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2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Общая сумма проекта, в т.ч.:</w:t>
            </w:r>
          </w:p>
          <w:p>
            <w:pPr>
              <w:pStyle w:val="style37"/>
              <w:numPr>
                <w:ilvl w:val="0"/>
                <w:numId w:val="1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Проектная и разрешительная документация</w:t>
            </w:r>
          </w:p>
          <w:p>
            <w:pPr>
              <w:pStyle w:val="style37"/>
              <w:numPr>
                <w:ilvl w:val="0"/>
                <w:numId w:val="1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Оборудование</w:t>
            </w:r>
          </w:p>
          <w:p>
            <w:pPr>
              <w:pStyle w:val="style37"/>
              <w:numPr>
                <w:ilvl w:val="0"/>
                <w:numId w:val="1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СМР</w:t>
            </w:r>
          </w:p>
          <w:p>
            <w:pPr>
              <w:pStyle w:val="style37"/>
              <w:numPr>
                <w:ilvl w:val="0"/>
                <w:numId w:val="1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Оборотные средства</w:t>
            </w:r>
          </w:p>
          <w:p>
            <w:pPr>
              <w:pStyle w:val="style37"/>
              <w:numPr>
                <w:ilvl w:val="0"/>
                <w:numId w:val="1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НДС </w:t>
            </w:r>
          </w:p>
          <w:p>
            <w:pPr>
              <w:pStyle w:val="style0"/>
              <w:spacing w:after="12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Детальная смета в Приложении № 1.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2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Сумма и структура финансирования (%), в т. ч.</w:t>
            </w:r>
          </w:p>
          <w:p>
            <w:pPr>
              <w:pStyle w:val="style37"/>
              <w:numPr>
                <w:ilvl w:val="0"/>
                <w:numId w:val="3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Собственные средства</w:t>
            </w:r>
          </w:p>
          <w:p>
            <w:pPr>
              <w:pStyle w:val="style37"/>
              <w:numPr>
                <w:ilvl w:val="0"/>
                <w:numId w:val="3"/>
              </w:numPr>
              <w:spacing w:after="12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Долговое финансирование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Сумма / срок / процентная ставка 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Банк / статус рассмотрения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Вид / сумма / прочее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Залоги</w:t>
            </w:r>
          </w:p>
          <w:p>
            <w:pPr>
              <w:pStyle w:val="style37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Поручительства</w:t>
            </w:r>
          </w:p>
          <w:p>
            <w:pPr>
              <w:pStyle w:val="style37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Прочие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Спонсор (инициатор) проекта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/ дата и место регистрации / основной вид деятельности</w:t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Структура собственности / структура группы компании в Приложении № 2</w:t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История развития (кратко / основные вехи)</w:t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Выручка / Чистая прибыль за последний финансовый год</w:t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Таблица 1 / Исторические финансовые показатели за последние три года, тыс. руб.</w:t>
            </w:r>
          </w:p>
          <w:tbl>
            <w:tblPr>
              <w:jc w:val="left"/>
              <w:tblInd w:type="dxa" w:w="287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3354"/>
              <w:gridCol w:w="1206"/>
              <w:gridCol w:w="1155"/>
              <w:gridCol w:w="1157"/>
            </w:tblGrid>
            <w:tr>
              <w:trPr>
                <w:cantSplit w:val="false"/>
              </w:trPr>
              <w:tc>
                <w:tcPr>
                  <w:tcW w:type="dxa" w:w="33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r>
                </w:p>
              </w:tc>
              <w:tc>
                <w:tcPr>
                  <w:tcW w:type="dxa" w:w="12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type="dxa" w:w="115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type="dxa" w:w="11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3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type="dxa" w:w="12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3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type="dxa" w:w="12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3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Рентабельность операционной прибыли</w:t>
                  </w:r>
                </w:p>
              </w:tc>
              <w:tc>
                <w:tcPr>
                  <w:tcW w:type="dxa" w:w="12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3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type="dxa" w:w="12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3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type="dxa" w:w="12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11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Текущая численность сотрудников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Наличие неурегулированной просроченной налоговой задолженности с учетом Группы лиц</w:t>
            </w:r>
            <w:r>
              <w:rPr>
                <w:rStyle w:val="style29"/>
                <w:rFonts w:ascii="Times New Roman" w:cs="Times New Roman" w:hAnsi="Times New Roman"/>
              </w:rPr>
              <w:footnoteReference w:id="2"/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Проектная компания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/ дата и место регистрации / целевой вид деятельности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Структура собственности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Текущая выручка / Чистая прибыль (если применимо)</w:t>
            </w:r>
          </w:p>
          <w:p>
            <w:pPr>
              <w:sectPr>
                <w:headerReference r:id="rId3" w:type="default"/>
                <w:footnotePr>
                  <w:numFmt w:val="decimal"/>
                </w:footnotePr>
                <w:type w:val="nextPage"/>
                <w:pgSz w:h="16838" w:w="11906"/>
                <w:pgMar w:bottom="1134" w:footer="0" w:gutter="0" w:header="708" w:left="709" w:right="850" w:top="1134"/>
                <w:pgNumType w:fmt="decimal"/>
                <w:formProt w:val="false"/>
                <w:titlePg/>
                <w:textDirection w:val="lrTb"/>
                <w:docGrid w:charSpace="4096" w:linePitch="360" w:type="default"/>
              </w:sect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Текущая и целевая численность сотрудников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Вид Проекта: новое производство / расширение существующего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Цель реализации проекта / целевые проектные показатели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Сроки / график реализации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Ключевые экономические показатели проекта / конкурентные преимущества 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/ технические и экономические характеристики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Уникальный / типовой продукт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Перечень аналогов на целевом рынке / конкурентные преимущества / основные конкуренты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Структура себестоимости / ключевые факторы, влияющие на себестоимость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Доля импорта в себестоимости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Степень новизны и сложности используемой технологии (типовая распространенная на рынке или уникальная технология).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Наличие технологической экспертизы. 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Местонахождение / участок (аренда / собственность) / юридический статус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Имеющаяся инфраструктура (ТУ): дороги, вода, газ, электричество, прочее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Источник информации о рынке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Целевой рынок: локальный / экспорт (регионы / емкость / ключевые игроки / прочее)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Доля проекта в целевом рыночном сегменте. Наличие маркетингового исследования.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Список/ предварительные договора / комфортные письма / коммерческие предложения с указанием объемов и цены (Приложение №3)</w:t>
            </w:r>
          </w:p>
          <w:p>
            <w:pPr>
              <w:pStyle w:val="style37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Планируемый график реализации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Список / предварительные договора / комфортные письма / коммерческие предложения с указанием объемов и цены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Список / предварительные договора / комфортные письма / коммерческие предложения с указанием цены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/ опыт реализации подобных проектов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Статус (наличие / в процессе / сроки подготовки)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Автор (наименование и опыт реализации подобных проектов)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Дата получения</w:t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Финансовые показатели Проектной компании / Проекта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Выручка / </w:t>
            </w:r>
            <w:r>
              <w:rPr>
                <w:rFonts w:ascii="Times New Roman" w:cs="Times New Roman" w:hAnsi="Times New Roman"/>
                <w:lang w:val="en-US"/>
              </w:rPr>
              <w:t>EBITDA</w:t>
            </w:r>
            <w:r>
              <w:rPr>
                <w:rFonts w:ascii="Times New Roman" w:cs="Times New Roman" w:hAnsi="Times New Roman"/>
              </w:rPr>
              <w:t xml:space="preserve"> / Чистая прибыль </w:t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Таблица 2 / Прогнозные финансовые показатели </w:t>
            </w:r>
          </w:p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2438"/>
              <w:gridCol w:w="799"/>
              <w:gridCol w:w="873"/>
              <w:gridCol w:w="874"/>
              <w:gridCol w:w="806"/>
              <w:gridCol w:w="851"/>
              <w:gridCol w:w="851"/>
            </w:tblGrid>
            <w:tr>
              <w:trPr>
                <w:cantSplit w:val="false"/>
              </w:trPr>
              <w:tc>
                <w:tcPr>
                  <w:tcW w:type="dxa" w:w="24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r>
                </w:p>
              </w:tc>
              <w:tc>
                <w:tcPr>
                  <w:tcW w:type="dxa" w:w="79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type="dxa" w:w="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type="dxa" w:w="87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type="dxa" w:w="8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type="dxa" w:w="85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type="dxa" w:w="85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4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 xml:space="preserve">Рентабельность по </w:t>
                  </w:r>
                  <w:r>
                    <w:rPr>
                      <w:rFonts w:ascii="Times New Roman" w:cs="Times New Roman" w:hAnsi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Чистая прибыль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type="dxa" w:w="79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7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5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5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4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Инвестиции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type="dxa" w:w="79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7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0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5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type="dxa" w:w="85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120" w:before="0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Инвестиционные показатели Проектной компании / Проекта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NPV / IRR / </w:t>
            </w:r>
            <w:r>
              <w:rPr>
                <w:rFonts w:ascii="Times New Roman" w:cs="Times New Roman" w:hAnsi="Times New Roman"/>
              </w:rPr>
              <w:t>прочие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Экологические аспекты / риски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Необходимость / наличие экологической экспертизы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Менеджмент / Ключевые лица</w:t>
            </w:r>
          </w:p>
        </w:tc>
        <w:tc>
          <w:tcPr>
            <w:tcW w:type="dxa" w:w="7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Ф.И.О. / краткое резюме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sectPr>
          <w:headerReference r:id="rId4" w:type="default"/>
          <w:footnotePr>
            <w:numFmt w:val="decimal"/>
          </w:footnotePr>
          <w:type w:val="nextPage"/>
          <w:pgSz w:h="16838" w:w="11906"/>
          <w:pgMar w:bottom="1134" w:footer="0" w:gutter="0" w:header="708" w:left="709" w:right="850" w:top="1134"/>
          <w:pgNumType w:fmt="decimal"/>
          <w:formProt w:val="false"/>
          <w:textDirection w:val="lrTb"/>
          <w:docGrid w:charSpace="4096" w:linePitch="360" w:type="default"/>
        </w:sectPr>
        <w:pStyle w:val="style38"/>
        <w:rPr/>
      </w:pPr>
      <w:r>
        <w:rPr/>
      </w:r>
    </w:p>
    <w:p>
      <w:pPr>
        <w:pStyle w:val="style44"/>
        <w:shd w:fill="FFFFFF" w:val="clear"/>
        <w:spacing w:after="28" w:before="28"/>
        <w:contextualSpacing w:val="false"/>
        <w:jc w:val="both"/>
        <w:rPr>
          <w:b/>
        </w:rPr>
      </w:pPr>
      <w:r>
        <w:rPr>
          <w:b/>
        </w:rPr>
        <w:t>Приложение №1. Обоснование бюджета проекта.</w:t>
      </w:r>
    </w:p>
    <w:p>
      <w:pPr>
        <w:pStyle w:val="style37"/>
        <w:ind w:hanging="0" w:left="-426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tbl>
      <w:tblPr>
        <w:jc w:val="left"/>
        <w:tblInd w:type="dxa" w:w="-43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3826"/>
        <w:gridCol w:w="1417"/>
        <w:gridCol w:w="2693"/>
        <w:gridCol w:w="7089"/>
      </w:tblGrid>
      <w:tr>
        <w:trPr>
          <w:tblHeader w:val="true"/>
          <w:trHeight w:hRule="atLeast" w:val="286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type="dxa" w:w="382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14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type="dxa" w:w="269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type="dxa" w:w="7089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>
        <w:trPr>
          <w:tblHeader w:val="true"/>
          <w:trHeight w:hRule="atLeast" w:val="1127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type="dxa" w:w="382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type="dxa" w:w="14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type="dxa" w:w="269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всего, тыс. руб.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Собственные средства, тыс. руб.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кредитора, тыс. руб.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финансированию, за счет собственных средств,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EEAF6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финансированию, за счет кредитора, тыс. руб.</w:t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разработку проектной документации.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Экспертиза проекта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Пусконаладочные работы и шеф-монтаж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Пусконаладочные работы и шеф-монтаж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type="dxa" w:w="15025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Договоры с поставщиками сырья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Приложение №2.  Структура Группы лиц.</w:t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  <w:r>
        <w:pict>
          <v:rect style="position:absolute;width:743.95pt;height:164.2pt;margin-top:26.35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618"/>
                    <w:gridCol w:w="3589"/>
                    <w:gridCol w:w="9393"/>
                    <w:gridCol w:w="1278"/>
                  </w:tblGrid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DEEAF6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bookmarkStart w:id="0" w:name="__UnoMark__920_1472732152"/>
                        <w:bookmarkEnd w:id="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п/п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DEEAF6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" w:name="__UnoMark__921_1472732152"/>
                        <w:bookmarkStart w:id="2" w:name="__UnoMark__922_1472732152"/>
                        <w:bookmarkEnd w:id="1"/>
                        <w:bookmarkEnd w:id="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компании</w:t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DEEAF6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" w:name="__UnoMark__923_1472732152"/>
                        <w:bookmarkStart w:id="4" w:name="__UnoMark__924_1472732152"/>
                        <w:bookmarkEnd w:id="3"/>
                        <w:bookmarkEnd w:id="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Участники/ акционеры</w:t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DEEAF6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" w:name="__UnoMark__925_1472732152"/>
                        <w:bookmarkStart w:id="6" w:name="__UnoMark__926_1472732152"/>
                        <w:bookmarkEnd w:id="5"/>
                        <w:bookmarkEnd w:id="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Доля</w:t>
                        </w:r>
                      </w:p>
                    </w:tc>
                  </w:tr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" w:name="__UnoMark__927_1472732152"/>
                        <w:bookmarkStart w:id="8" w:name="__UnoMark__928_1472732152"/>
                        <w:bookmarkEnd w:id="7"/>
                        <w:bookmarkEnd w:id="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" w:name="__UnoMark__930_1472732152"/>
                        <w:bookmarkStart w:id="10" w:name="__UnoMark__929_1472732152"/>
                        <w:bookmarkStart w:id="11" w:name="__UnoMark__930_1472732152"/>
                        <w:bookmarkStart w:id="12" w:name="__UnoMark__929_1472732152"/>
                        <w:bookmarkEnd w:id="11"/>
                        <w:bookmarkEnd w:id="1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3" w:name="__UnoMark__932_1472732152"/>
                        <w:bookmarkStart w:id="14" w:name="__UnoMark__931_1472732152"/>
                        <w:bookmarkStart w:id="15" w:name="__UnoMark__932_1472732152"/>
                        <w:bookmarkStart w:id="16" w:name="__UnoMark__931_1472732152"/>
                        <w:bookmarkEnd w:id="15"/>
                        <w:bookmarkEnd w:id="1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7" w:name="__UnoMark__934_1472732152"/>
                        <w:bookmarkStart w:id="18" w:name="__UnoMark__933_1472732152"/>
                        <w:bookmarkStart w:id="19" w:name="__UnoMark__934_1472732152"/>
                        <w:bookmarkStart w:id="20" w:name="__UnoMark__933_1472732152"/>
                        <w:bookmarkEnd w:id="19"/>
                        <w:bookmarkEnd w:id="2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1" w:name="__UnoMark__935_1472732152"/>
                        <w:bookmarkStart w:id="22" w:name="__UnoMark__936_1472732152"/>
                        <w:bookmarkEnd w:id="21"/>
                        <w:bookmarkEnd w:id="2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3" w:name="__UnoMark__938_1472732152"/>
                        <w:bookmarkStart w:id="24" w:name="__UnoMark__937_1472732152"/>
                        <w:bookmarkStart w:id="25" w:name="__UnoMark__938_1472732152"/>
                        <w:bookmarkStart w:id="26" w:name="__UnoMark__937_1472732152"/>
                        <w:bookmarkEnd w:id="25"/>
                        <w:bookmarkEnd w:id="2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7" w:name="__UnoMark__940_1472732152"/>
                        <w:bookmarkStart w:id="28" w:name="__UnoMark__939_1472732152"/>
                        <w:bookmarkStart w:id="29" w:name="__UnoMark__940_1472732152"/>
                        <w:bookmarkStart w:id="30" w:name="__UnoMark__939_1472732152"/>
                        <w:bookmarkEnd w:id="29"/>
                        <w:bookmarkEnd w:id="3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1" w:name="__UnoMark__942_1472732152"/>
                        <w:bookmarkStart w:id="32" w:name="__UnoMark__941_1472732152"/>
                        <w:bookmarkStart w:id="33" w:name="__UnoMark__942_1472732152"/>
                        <w:bookmarkStart w:id="34" w:name="__UnoMark__941_1472732152"/>
                        <w:bookmarkEnd w:id="33"/>
                        <w:bookmarkEnd w:id="3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5" w:name="__UnoMark__943_1472732152"/>
                        <w:bookmarkStart w:id="36" w:name="__UnoMark__944_1472732152"/>
                        <w:bookmarkEnd w:id="35"/>
                        <w:bookmarkEnd w:id="3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7" w:name="__UnoMark__946_1472732152"/>
                        <w:bookmarkStart w:id="38" w:name="__UnoMark__945_1472732152"/>
                        <w:bookmarkStart w:id="39" w:name="__UnoMark__946_1472732152"/>
                        <w:bookmarkStart w:id="40" w:name="__UnoMark__945_1472732152"/>
                        <w:bookmarkEnd w:id="39"/>
                        <w:bookmarkEnd w:id="4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1" w:name="__UnoMark__948_1472732152"/>
                        <w:bookmarkStart w:id="42" w:name="__UnoMark__947_1472732152"/>
                        <w:bookmarkStart w:id="43" w:name="__UnoMark__948_1472732152"/>
                        <w:bookmarkStart w:id="44" w:name="__UnoMark__947_1472732152"/>
                        <w:bookmarkEnd w:id="43"/>
                        <w:bookmarkEnd w:id="4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5" w:name="__UnoMark__950_1472732152"/>
                        <w:bookmarkStart w:id="46" w:name="__UnoMark__949_1472732152"/>
                        <w:bookmarkStart w:id="47" w:name="__UnoMark__950_1472732152"/>
                        <w:bookmarkStart w:id="48" w:name="__UnoMark__949_1472732152"/>
                        <w:bookmarkEnd w:id="47"/>
                        <w:bookmarkEnd w:id="4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9" w:name="__UnoMark__951_1472732152"/>
                        <w:bookmarkStart w:id="50" w:name="__UnoMark__952_1472732152"/>
                        <w:bookmarkEnd w:id="49"/>
                        <w:bookmarkEnd w:id="5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1" w:name="__UnoMark__954_1472732152"/>
                        <w:bookmarkStart w:id="52" w:name="__UnoMark__953_1472732152"/>
                        <w:bookmarkStart w:id="53" w:name="__UnoMark__954_1472732152"/>
                        <w:bookmarkStart w:id="54" w:name="__UnoMark__953_1472732152"/>
                        <w:bookmarkEnd w:id="53"/>
                        <w:bookmarkEnd w:id="5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5" w:name="__UnoMark__956_1472732152"/>
                        <w:bookmarkStart w:id="56" w:name="__UnoMark__955_1472732152"/>
                        <w:bookmarkStart w:id="57" w:name="__UnoMark__956_1472732152"/>
                        <w:bookmarkStart w:id="58" w:name="__UnoMark__955_1472732152"/>
                        <w:bookmarkEnd w:id="57"/>
                        <w:bookmarkEnd w:id="5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9" w:name="__UnoMark__958_1472732152"/>
                        <w:bookmarkStart w:id="60" w:name="__UnoMark__957_1472732152"/>
                        <w:bookmarkStart w:id="61" w:name="__UnoMark__958_1472732152"/>
                        <w:bookmarkStart w:id="62" w:name="__UnoMark__957_1472732152"/>
                        <w:bookmarkEnd w:id="61"/>
                        <w:bookmarkEnd w:id="6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277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3" w:name="__UnoMark__959_1472732152"/>
                        <w:bookmarkStart w:id="64" w:name="__UnoMark__960_1472732152"/>
                        <w:bookmarkEnd w:id="63"/>
                        <w:bookmarkEnd w:id="6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5" w:name="__UnoMark__962_1472732152"/>
                        <w:bookmarkStart w:id="66" w:name="__UnoMark__961_1472732152"/>
                        <w:bookmarkStart w:id="67" w:name="__UnoMark__962_1472732152"/>
                        <w:bookmarkStart w:id="68" w:name="__UnoMark__961_1472732152"/>
                        <w:bookmarkEnd w:id="67"/>
                        <w:bookmarkEnd w:id="6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9" w:name="__UnoMark__964_1472732152"/>
                        <w:bookmarkStart w:id="70" w:name="__UnoMark__963_1472732152"/>
                        <w:bookmarkStart w:id="71" w:name="__UnoMark__964_1472732152"/>
                        <w:bookmarkStart w:id="72" w:name="__UnoMark__963_1472732152"/>
                        <w:bookmarkEnd w:id="71"/>
                        <w:bookmarkEnd w:id="7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3" w:name="__UnoMark__966_1472732152"/>
                        <w:bookmarkStart w:id="74" w:name="__UnoMark__965_1472732152"/>
                        <w:bookmarkStart w:id="75" w:name="__UnoMark__966_1472732152"/>
                        <w:bookmarkStart w:id="76" w:name="__UnoMark__965_1472732152"/>
                        <w:bookmarkEnd w:id="75"/>
                        <w:bookmarkEnd w:id="7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7" w:name="__UnoMark__967_1472732152"/>
                        <w:bookmarkStart w:id="78" w:name="__UnoMark__968_1472732152"/>
                        <w:bookmarkEnd w:id="77"/>
                        <w:bookmarkEnd w:id="7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9" w:name="__UnoMark__970_1472732152"/>
                        <w:bookmarkStart w:id="80" w:name="__UnoMark__969_1472732152"/>
                        <w:bookmarkStart w:id="81" w:name="__UnoMark__970_1472732152"/>
                        <w:bookmarkStart w:id="82" w:name="__UnoMark__969_1472732152"/>
                        <w:bookmarkEnd w:id="81"/>
                        <w:bookmarkEnd w:id="8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83" w:name="__UnoMark__972_1472732152"/>
                        <w:bookmarkStart w:id="84" w:name="__UnoMark__971_1472732152"/>
                        <w:bookmarkStart w:id="85" w:name="__UnoMark__972_1472732152"/>
                        <w:bookmarkStart w:id="86" w:name="__UnoMark__971_1472732152"/>
                        <w:bookmarkEnd w:id="85"/>
                        <w:bookmarkEnd w:id="8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87" w:name="__UnoMark__974_1472732152"/>
                        <w:bookmarkStart w:id="88" w:name="__UnoMark__973_1472732152"/>
                        <w:bookmarkStart w:id="89" w:name="__UnoMark__974_1472732152"/>
                        <w:bookmarkStart w:id="90" w:name="__UnoMark__973_1472732152"/>
                        <w:bookmarkEnd w:id="89"/>
                        <w:bookmarkEnd w:id="9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421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1" w:name="__UnoMark__975_1472732152"/>
                        <w:bookmarkStart w:id="92" w:name="__UnoMark__976_1472732152"/>
                        <w:bookmarkEnd w:id="91"/>
                        <w:bookmarkEnd w:id="92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3" w:name="__UnoMark__978_1472732152"/>
                        <w:bookmarkStart w:id="94" w:name="__UnoMark__977_1472732152"/>
                        <w:bookmarkStart w:id="95" w:name="__UnoMark__978_1472732152"/>
                        <w:bookmarkStart w:id="96" w:name="__UnoMark__977_1472732152"/>
                        <w:bookmarkEnd w:id="95"/>
                        <w:bookmarkEnd w:id="9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7" w:name="__UnoMark__980_1472732152"/>
                        <w:bookmarkStart w:id="98" w:name="__UnoMark__979_1472732152"/>
                        <w:bookmarkStart w:id="99" w:name="__UnoMark__980_1472732152"/>
                        <w:bookmarkStart w:id="100" w:name="__UnoMark__979_1472732152"/>
                        <w:bookmarkEnd w:id="99"/>
                        <w:bookmarkEnd w:id="10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1" w:name="__UnoMark__982_1472732152"/>
                        <w:bookmarkStart w:id="102" w:name="__UnoMark__981_1472732152"/>
                        <w:bookmarkStart w:id="103" w:name="__UnoMark__982_1472732152"/>
                        <w:bookmarkStart w:id="104" w:name="__UnoMark__981_1472732152"/>
                        <w:bookmarkEnd w:id="103"/>
                        <w:bookmarkEnd w:id="10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18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5" w:name="__UnoMark__983_1472732152"/>
                        <w:bookmarkStart w:id="106" w:name="__UnoMark__984_1472732152"/>
                        <w:bookmarkEnd w:id="105"/>
                        <w:bookmarkEnd w:id="106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7" w:name="__UnoMark__986_1472732152"/>
                        <w:bookmarkStart w:id="108" w:name="__UnoMark__985_1472732152"/>
                        <w:bookmarkStart w:id="109" w:name="__UnoMark__986_1472732152"/>
                        <w:bookmarkStart w:id="110" w:name="__UnoMark__985_1472732152"/>
                        <w:bookmarkEnd w:id="109"/>
                        <w:bookmarkEnd w:id="11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11" w:name="__UnoMark__988_1472732152"/>
                        <w:bookmarkStart w:id="112" w:name="__UnoMark__987_1472732152"/>
                        <w:bookmarkStart w:id="113" w:name="__UnoMark__988_1472732152"/>
                        <w:bookmarkStart w:id="114" w:name="__UnoMark__987_1472732152"/>
                        <w:bookmarkEnd w:id="113"/>
                        <w:bookmarkEnd w:id="11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15" w:name="__UnoMark__990_1472732152"/>
                        <w:bookmarkStart w:id="116" w:name="__UnoMark__989_1472732152"/>
                        <w:bookmarkStart w:id="117" w:name="__UnoMark__990_1472732152"/>
                        <w:bookmarkStart w:id="118" w:name="__UnoMark__989_1472732152"/>
                        <w:bookmarkEnd w:id="117"/>
                        <w:bookmarkEnd w:id="11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hRule="atLeast" w:val="289"/>
                      <w:cantSplit w:val="false"/>
                    </w:trPr>
                    <w:tc>
                      <w:tcPr>
                        <w:tcW w:type="dxa" w:w="61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19" w:name="__UnoMark__991_1472732152"/>
                        <w:bookmarkStart w:id="120" w:name="__UnoMark__992_1472732152"/>
                        <w:bookmarkEnd w:id="119"/>
                        <w:bookmarkEnd w:id="12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type="dxa" w:w="35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21" w:name="__UnoMark__994_1472732152"/>
                        <w:bookmarkStart w:id="122" w:name="__UnoMark__993_1472732152"/>
                        <w:bookmarkStart w:id="123" w:name="__UnoMark__994_1472732152"/>
                        <w:bookmarkStart w:id="124" w:name="__UnoMark__993_1472732152"/>
                        <w:bookmarkEnd w:id="123"/>
                        <w:bookmarkEnd w:id="124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939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25" w:name="__UnoMark__996_1472732152"/>
                        <w:bookmarkStart w:id="126" w:name="__UnoMark__995_1472732152"/>
                        <w:bookmarkStart w:id="127" w:name="__UnoMark__996_1472732152"/>
                        <w:bookmarkStart w:id="128" w:name="__UnoMark__995_1472732152"/>
                        <w:bookmarkEnd w:id="127"/>
                        <w:bookmarkEnd w:id="128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  <w:tc>
                      <w:tcPr>
                        <w:tcW w:type="dxa" w:w="12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  <w:vAlign w:val="center"/>
                      </w:tcPr>
                      <w:p>
                        <w:pPr>
                          <w:pStyle w:val="style37"/>
                          <w:framePr w:h="23" w:hAnchor="page" w:hRule="exact" w:hSpace="0" w:vAnchor="page" w:vSpace="0" w:w="14879" w:wrap="around" w:x="0" w:y="52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29" w:name="__UnoMark__997_1472732152"/>
                        <w:bookmarkStart w:id="130" w:name="__UnoMark__997_1472732152"/>
                        <w:bookmarkEnd w:id="130"/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bookmarkStart w:id="131" w:name="_GoBack"/>
      <w:bookmarkStart w:id="132" w:name="_GoBack"/>
      <w:bookmarkEnd w:id="132"/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Группа лиц</w:t>
      </w:r>
      <w:r>
        <w:rPr>
          <w:rFonts w:ascii="Times New Roman" w:cs="Times New Roman" w:hAnsi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44"/>
        <w:pageBreakBefore/>
        <w:shd w:fill="FFFFFF" w:val="clear"/>
        <w:spacing w:after="28" w:before="28"/>
        <w:contextualSpacing w:val="false"/>
        <w:jc w:val="both"/>
        <w:rPr>
          <w:b/>
        </w:rPr>
      </w:pPr>
      <w:r>
        <w:rPr>
          <w:b/>
        </w:rPr>
        <w:t>Приложение №3. Реализация продукции по проекту</w:t>
      </w:r>
    </w:p>
    <w:p>
      <w:pPr>
        <w:pStyle w:val="style44"/>
        <w:shd w:fill="FFFFFF" w:val="clear"/>
        <w:spacing w:after="28" w:before="28"/>
        <w:contextualSpacing w:val="false"/>
        <w:jc w:val="both"/>
        <w:rPr>
          <w:b/>
        </w:rPr>
      </w:pPr>
      <w:r>
        <w:rPr>
          <w:b/>
        </w:rPr>
      </w:r>
    </w:p>
    <w:p>
      <w:pPr>
        <w:pStyle w:val="style44"/>
        <w:shd w:fill="FFFFFF" w:val="clear"/>
        <w:spacing w:after="28" w:before="28"/>
        <w:contextualSpacing w:val="false"/>
        <w:jc w:val="both"/>
        <w:rPr>
          <w:b/>
        </w:rPr>
      </w:pPr>
      <w:r>
        <w:rPr>
          <w:b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"/>
        <w:gridCol w:w="5449"/>
        <w:gridCol w:w="1938"/>
        <w:gridCol w:w="1634"/>
        <w:gridCol w:w="5503"/>
      </w:tblGrid>
      <w:tr>
        <w:trPr>
          <w:trHeight w:hRule="atLeast" w:val="690"/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10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type="dxa" w:w="5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108"/>
            </w:tcMar>
          </w:tcPr>
          <w:p>
            <w:pPr>
              <w:pStyle w:val="style44"/>
              <w:spacing w:after="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type="dxa" w:w="1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денежном выражении, </w:t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млн. в год</w:t>
            </w:r>
          </w:p>
        </w:tc>
        <w:tc>
          <w:tcPr>
            <w:tcW w:type="dxa" w:w="5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DD6EE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>1.</w:t>
            </w:r>
          </w:p>
        </w:tc>
        <w:tc>
          <w:tcPr>
            <w:tcW w:type="dxa" w:w="5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hd w:fill="FFFFFF" w:val="clear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hd w:fill="FFFFFF" w:val="clear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>ОБЩАЯ ЕМКОСТЬ РЫНКА ПРОДУКЦИИ</w:t>
            </w:r>
          </w:p>
          <w:p>
            <w:pPr>
              <w:pStyle w:val="style44"/>
              <w:shd w:fill="FFFFFF" w:val="clear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1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hd w:fill="FFFFFF" w:val="clear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hd w:fill="FFFFFF" w:val="clear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5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hd w:fill="FFFFFF" w:val="clear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>2.</w:t>
            </w:r>
          </w:p>
        </w:tc>
        <w:tc>
          <w:tcPr>
            <w:tcW w:type="dxa" w:w="5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ind w:hanging="0" w:left="0" w:right="175"/>
              <w:contextualSpacing w:val="false"/>
              <w:jc w:val="both"/>
              <w:rPr/>
            </w:pPr>
            <w:r>
              <w:rPr/>
              <w:t>ТЕКУЩИЙ ОБЪЕМ ВСЕГО РЫНКА ПРОИЗВОДИМОЙ ПРОДУКЦИИ</w:t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1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5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>3.</w:t>
            </w:r>
          </w:p>
        </w:tc>
        <w:tc>
          <w:tcPr>
            <w:tcW w:type="dxa" w:w="5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 xml:space="preserve">ПОТЕНЦИАЛ РЫНКА ПРОДУКЦИИ </w:t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1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5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>4</w:t>
            </w:r>
          </w:p>
        </w:tc>
        <w:tc>
          <w:tcPr>
            <w:tcW w:type="dxa" w:w="5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  <w:t>ПЛАНИРУЕМЫЙ ОБЪЕМ ПРОИЗВОДСТВА ПРОДУКЦИИ В РАМКАХ ПРОЕКТА</w:t>
            </w:r>
          </w:p>
          <w:p>
            <w:pPr>
              <w:pStyle w:val="style44"/>
              <w:spacing w:after="0" w:before="28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1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5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4"/>
              <w:spacing w:after="0" w:before="28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44"/>
        <w:shd w:fill="FFFFFF" w:val="clear"/>
        <w:spacing w:after="28" w:before="28"/>
        <w:contextualSpacing w:val="false"/>
        <w:jc w:val="both"/>
        <w:rPr>
          <w:b/>
        </w:rPr>
      </w:pPr>
      <w:r>
        <w:rPr>
          <w:b/>
        </w:rPr>
      </w:r>
    </w:p>
    <w:p>
      <w:pPr>
        <w:pStyle w:val="style37"/>
        <w:ind w:hanging="0" w:left="-426" w:right="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/>
      </w:pPr>
      <w:r>
        <w:rPr/>
      </w:r>
    </w:p>
    <w:sectPr>
      <w:headerReference r:id="rId5" w:type="default"/>
      <w:footerReference r:id="rId6" w:type="default"/>
      <w:footnotePr>
        <w:numFmt w:val="decimal"/>
      </w:footnotePr>
      <w:type w:val="nextPage"/>
      <w:pgSz w:h="11906" w:orient="landscape" w:w="16838"/>
      <w:pgMar w:bottom="850" w:footer="708" w:gutter="0" w:header="708" w:left="1134" w:right="568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  <w:rPr/>
    </w:pPr>
    <w:r>
      <w:rPr/>
    </w:r>
  </w:p>
  <w:p>
    <w:pPr>
      <w:pStyle w:val="style39"/>
      <w:rPr/>
    </w:pPr>
    <w:r>
      <w:rPr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3"/>
        <w:rPr>
          <w:rFonts w:ascii="Times New Roman" w:cs="Times New Roman" w:hAnsi="Times New Roman"/>
        </w:rPr>
      </w:pPr>
      <w:r>
        <w:rPr>
          <w:rStyle w:val="style24"/>
        </w:rPr>
        <w:footnoteRef/>
        <w:tab/>
      </w:r>
      <w:r>
        <w:rPr/>
        <w:t xml:space="preserve"> </w:t>
      </w:r>
      <w:r>
        <w:rPr>
          <w:rFonts w:ascii="Times New Roman" w:cs="Times New Roman" w:hAnsi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  <w:p>
      <w:pPr>
        <w:pStyle w:val="style45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8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Arial" w:cs="Arial" w:hAnsi="Arial"/>
      <w:sz w:val="18"/>
      <w:szCs w:val="18"/>
    </w:rPr>
  </w:style>
  <w:style w:styleId="style19" w:type="character">
    <w:name w:val="Интернет-ссылка"/>
    <w:basedOn w:val="style15"/>
    <w:next w:val="style19"/>
    <w:rPr>
      <w:color w:val="0563C1"/>
      <w:u w:val="single"/>
      <w:lang w:bidi="zxx-" w:eastAsia="zxx-" w:val="zxx-"/>
    </w:rPr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Текст примечания Знак"/>
    <w:basedOn w:val="style15"/>
    <w:next w:val="style21"/>
    <w:rPr>
      <w:sz w:val="20"/>
      <w:szCs w:val="20"/>
    </w:rPr>
  </w:style>
  <w:style w:styleId="style22" w:type="character">
    <w:name w:val="Тема примечания Знак"/>
    <w:basedOn w:val="style21"/>
    <w:next w:val="style22"/>
    <w:rPr>
      <w:b/>
      <w:bCs/>
      <w:sz w:val="20"/>
      <w:szCs w:val="20"/>
    </w:rPr>
  </w:style>
  <w:style w:styleId="style23" w:type="character">
    <w:name w:val="Текст сноски Знак"/>
    <w:basedOn w:val="style15"/>
    <w:next w:val="style23"/>
    <w:rPr>
      <w:sz w:val="20"/>
      <w:szCs w:val="20"/>
    </w:rPr>
  </w:style>
  <w:style w:styleId="style24" w:type="character">
    <w:name w:val="footnote reference"/>
    <w:basedOn w:val="style15"/>
    <w:next w:val="style24"/>
    <w:rPr>
      <w:vertAlign w:val="superscript"/>
    </w:rPr>
  </w:style>
  <w:style w:styleId="style25" w:type="character">
    <w:name w:val="ListLabel 1"/>
    <w:next w:val="style25"/>
    <w:rPr>
      <w:rFonts w:cs="Courier New"/>
    </w:rPr>
  </w:style>
  <w:style w:styleId="style26" w:type="character">
    <w:name w:val="ListLabel 2"/>
    <w:next w:val="style26"/>
    <w:rPr>
      <w:color w:val="00000A"/>
    </w:rPr>
  </w:style>
  <w:style w:styleId="style27" w:type="character">
    <w:name w:val="ListLabel 3"/>
    <w:next w:val="style27"/>
    <w:rPr>
      <w:b w:val="false"/>
      <w:i w:val="false"/>
      <w:sz w:val="28"/>
      <w:szCs w:val="28"/>
    </w:rPr>
  </w:style>
  <w:style w:styleId="style28" w:type="character">
    <w:name w:val="Символ сноски"/>
    <w:next w:val="style28"/>
    <w:rPr/>
  </w:style>
  <w:style w:styleId="style29" w:type="character">
    <w:name w:val="Привязка сноски"/>
    <w:next w:val="style29"/>
    <w:rPr>
      <w:vertAlign w:val="superscript"/>
    </w:rPr>
  </w:style>
  <w:style w:styleId="style30" w:type="character">
    <w:name w:val="Привязка концевой сноски"/>
    <w:next w:val="style30"/>
    <w:rPr>
      <w:vertAlign w:val="superscript"/>
    </w:rPr>
  </w:style>
  <w:style w:styleId="style31" w:type="character">
    <w:name w:val="Символы концевой сноски"/>
    <w:next w:val="style31"/>
    <w:rPr/>
  </w:style>
  <w:style w:styleId="style32" w:type="paragraph">
    <w:name w:val="Заголовок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  <w:contextualSpacing w:val="false"/>
    </w:pPr>
    <w:rPr/>
  </w:style>
  <w:style w:styleId="style34" w:type="paragraph">
    <w:name w:val="Список"/>
    <w:basedOn w:val="style33"/>
    <w:next w:val="style34"/>
    <w:pPr/>
    <w:rPr>
      <w:rFonts w:cs="Mangal"/>
    </w:rPr>
  </w:style>
  <w:style w:styleId="style35" w:type="paragraph">
    <w:name w:val="Название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Mangal"/>
    </w:rPr>
  </w:style>
  <w:style w:styleId="style37" w:type="paragraph">
    <w:name w:val="List Paragraph"/>
    <w:basedOn w:val="style0"/>
    <w:next w:val="style37"/>
    <w:pPr>
      <w:spacing w:after="160" w:before="0"/>
      <w:ind w:hanging="0" w:left="720" w:right="0"/>
      <w:contextualSpacing/>
    </w:pPr>
    <w:rPr/>
  </w:style>
  <w:style w:styleId="style38" w:type="paragraph">
    <w:name w:val="Верхний колонтитул"/>
    <w:basedOn w:val="style0"/>
    <w:next w:val="style3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9" w:type="paragraph">
    <w:name w:val="Нижний колонтитул"/>
    <w:basedOn w:val="style0"/>
    <w:next w:val="style3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0" w:type="paragraph">
    <w:name w:val="Balloon Text"/>
    <w:basedOn w:val="style0"/>
    <w:next w:val="style40"/>
    <w:pPr>
      <w:spacing w:after="0" w:before="0" w:line="100" w:lineRule="atLeast"/>
      <w:contextualSpacing w:val="false"/>
    </w:pPr>
    <w:rPr>
      <w:rFonts w:ascii="Arial" w:cs="Arial" w:hAnsi="Arial"/>
      <w:sz w:val="18"/>
      <w:szCs w:val="18"/>
    </w:rPr>
  </w:style>
  <w:style w:styleId="style41" w:type="paragraph">
    <w:name w:val="annotation text"/>
    <w:basedOn w:val="style0"/>
    <w:next w:val="style41"/>
    <w:pPr>
      <w:spacing w:line="100" w:lineRule="atLeast"/>
    </w:pPr>
    <w:rPr>
      <w:sz w:val="20"/>
      <w:szCs w:val="20"/>
    </w:rPr>
  </w:style>
  <w:style w:styleId="style42" w:type="paragraph">
    <w:name w:val="annotation subject"/>
    <w:basedOn w:val="style41"/>
    <w:next w:val="style42"/>
    <w:pPr/>
    <w:rPr>
      <w:b/>
      <w:bCs/>
    </w:rPr>
  </w:style>
  <w:style w:styleId="style43" w:type="paragraph">
    <w:name w:val="footnote text"/>
    <w:basedOn w:val="style0"/>
    <w:next w:val="style43"/>
    <w:pPr>
      <w:spacing w:after="0" w:before="0" w:line="100" w:lineRule="atLeast"/>
      <w:contextualSpacing w:val="false"/>
    </w:pPr>
    <w:rPr>
      <w:sz w:val="20"/>
      <w:szCs w:val="20"/>
    </w:rPr>
  </w:style>
  <w:style w:styleId="style44" w:type="paragraph">
    <w:name w:val="Normal (Web)"/>
    <w:basedOn w:val="style0"/>
    <w:next w:val="style4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Сноска"/>
    <w:basedOn w:val="style0"/>
    <w:next w:val="style45"/>
    <w:pPr/>
    <w:rPr/>
  </w:style>
  <w:style w:styleId="style46" w:type="paragraph">
    <w:name w:val="Содержимое врезки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og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2017-01-13T08:42:00Z</dcterms:created>
  <dc:creator>Дубовик Вадим Викторович</dc:creator>
  <cp:lastModifiedBy>MeshkovaEV</cp:lastModifiedBy>
  <cp:lastPrinted>2017-01-13T08:41:00Z</cp:lastPrinted>
  <dcterms:modified xsi:type="dcterms:W3CDTF">2017-03-14T13:27:00Z</dcterms:modified>
  <cp:revision>3</cp:revision>
</cp:coreProperties>
</file>